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600" w:lineRule="exact"/>
        <w:rPr>
          <w:rFonts w:ascii="Times New Roman" w:eastAsia="方正黑体_GBK" w:cs="Times New Roman" w:hAnsi="Times New Roman"/>
          <w:bCs/>
          <w:sz w:val="32"/>
          <w:szCs w:val="32"/>
        </w:rPr>
      </w:pPr>
      <w:r>
        <w:rPr>
          <w:rFonts w:ascii="方正黑体_GBK" w:eastAsia="方正黑体_GBK" w:cs="Times New Roman" w:hint="eastAsia"/>
          <w:sz w:val="32"/>
          <w:szCs w:val="32"/>
        </w:rPr>
        <w:t>附件</w:t>
      </w:r>
      <w:r>
        <w:rPr>
          <w:rFonts w:ascii="Times New Roman" w:eastAsia="方正黑体_GBK" w:cs="Times New Roman" w:hAnsi="Times New Roman"/>
          <w:sz w:val="32"/>
          <w:szCs w:val="32"/>
        </w:rPr>
        <w:t>1</w:t>
      </w:r>
    </w:p>
    <w:p>
      <w:pPr>
        <w:spacing w:line="480" w:lineRule="auto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出口危险货物包装容器生产企业检测设备和环境设施要求</w:t>
      </w:r>
    </w:p>
    <w:tbl>
      <w:tblPr>
        <w:jc w:val="left"/>
        <w:tblInd w:w="-65" w:type="dxa"/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3465"/>
        <w:gridCol w:w="3150"/>
        <w:gridCol w:w="7455"/>
      </w:tblGrid>
      <w:tr>
        <w:trPr>
          <w:trHeight w:val="454"/>
        </w:trPr>
        <w:tc>
          <w:tcPr>
            <w:tcW w:w="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cs="楷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楷体" w:eastAsia="楷体" w:cs="楷体" w:hint="eastAsia"/>
                <w:b/>
                <w:bCs/>
                <w:color w:val="000000"/>
                <w:kern w:val="0"/>
                <w:sz w:val="24"/>
                <w:szCs w:val="28"/>
              </w:rPr>
              <w:t>序号</w:t>
            </w:r>
          </w:p>
        </w:tc>
        <w:tc>
          <w:tcPr>
            <w:tcW w:w="3465" w:type="dxa"/>
            <w:vAlign w:val="center"/>
          </w:tcPr>
          <w:p>
            <w:pPr>
              <w:pStyle w:val="109"/>
              <w:widowControl/>
              <w:jc w:val="center"/>
              <w:textAlignment w:val="center"/>
              <w:rPr>
                <w:rFonts w:ascii="楷体" w:eastAsia="楷体" w:cs="楷体"/>
                <w:b/>
                <w:bCs/>
                <w:sz w:val="24"/>
                <w:szCs w:val="28"/>
              </w:rPr>
            </w:pPr>
            <w:r>
              <w:rPr>
                <w:rFonts w:ascii="楷体" w:eastAsia="楷体" w:cs="楷体" w:hint="eastAsia"/>
                <w:b/>
                <w:bCs/>
                <w:color w:val="000000"/>
                <w:kern w:val="0"/>
                <w:sz w:val="24"/>
                <w:szCs w:val="28"/>
              </w:rPr>
              <w:t>包装容器</w:t>
            </w:r>
            <w:r>
              <w:rPr>
                <w:rFonts w:ascii="楷体" w:eastAsia="楷体" w:cs="楷体"/>
                <w:b/>
                <w:bCs/>
                <w:color w:val="000000"/>
                <w:kern w:val="0"/>
                <w:sz w:val="24"/>
                <w:szCs w:val="28"/>
              </w:rPr>
              <w:t>分类/</w:t>
            </w:r>
            <w:r>
              <w:rPr>
                <w:rFonts w:ascii="楷体" w:eastAsia="楷体" w:cs="楷体" w:hint="eastAsia"/>
                <w:b/>
                <w:bCs/>
                <w:color w:val="000000"/>
                <w:kern w:val="0"/>
                <w:sz w:val="24"/>
                <w:szCs w:val="28"/>
              </w:rPr>
              <w:t>范围</w:t>
            </w: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="楷体" w:eastAsia="楷体" w:cs="楷体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ascii="楷体" w:eastAsia="楷体" w:cs="楷体" w:hint="eastAsia"/>
                <w:b/>
                <w:bCs/>
                <w:color w:val="000000"/>
                <w:kern w:val="0"/>
                <w:sz w:val="24"/>
                <w:szCs w:val="28"/>
              </w:rPr>
              <w:t>检测设备和环境设施</w:t>
            </w:r>
          </w:p>
        </w:tc>
        <w:tc>
          <w:tcPr>
            <w:tcW w:w="74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cs="楷体"/>
                <w:b/>
                <w:bCs/>
                <w:sz w:val="24"/>
                <w:szCs w:val="28"/>
              </w:rPr>
            </w:pPr>
            <w:r>
              <w:rPr>
                <w:rFonts w:ascii="楷体" w:eastAsia="楷体" w:cs="楷体" w:hint="eastAsia"/>
                <w:b/>
                <w:bCs/>
                <w:color w:val="000000"/>
                <w:kern w:val="0"/>
                <w:sz w:val="24"/>
                <w:szCs w:val="28"/>
              </w:rPr>
              <w:t>要求</w:t>
            </w:r>
          </w:p>
        </w:tc>
      </w:tr>
      <w:tr>
        <w:trPr>
          <w:trHeight w:val="396"/>
        </w:trPr>
        <w:tc>
          <w:tcPr>
            <w:tcW w:w="735" w:type="dxa"/>
            <w:vAlign w:val="center"/>
          </w:tcPr>
          <w:p>
            <w:pPr>
              <w:pStyle w:val="36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1</w:t>
            </w:r>
            <w:r>
              <w:rPr>
                <w:rFonts w:ascii="楷体" w:eastAsia="楷体" w:cs="楷体" w:hint="eastAsia"/>
                <w:bCs/>
                <w:sz w:val="24"/>
                <w:szCs w:val="40"/>
              </w:rPr>
              <w:t>*</w:t>
            </w:r>
          </w:p>
        </w:tc>
        <w:tc>
          <w:tcPr>
            <w:tcW w:w="3465" w:type="dxa"/>
            <w:vAlign w:val="center"/>
          </w:tcPr>
          <w:p>
            <w:pPr>
              <w:pStyle w:val="110"/>
              <w:widowControl/>
              <w:jc w:val="left"/>
              <w:textAlignment w:val="center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所有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包装容器</w:t>
            </w:r>
          </w:p>
        </w:tc>
        <w:tc>
          <w:tcPr>
            <w:tcW w:w="3150" w:type="dxa"/>
            <w:vAlign w:val="center"/>
          </w:tcPr>
          <w:p>
            <w:pPr>
              <w:pStyle w:val="47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称量衡器</w:t>
            </w:r>
          </w:p>
        </w:tc>
        <w:tc>
          <w:tcPr>
            <w:tcW w:w="7455" w:type="dxa"/>
            <w:vAlign w:val="center"/>
          </w:tcPr>
          <w:p>
            <w:pPr>
              <w:pStyle w:val="49"/>
              <w:widowControl/>
              <w:jc w:val="left"/>
              <w:textAlignment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量程满足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称重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要求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396"/>
        </w:trPr>
        <w:tc>
          <w:tcPr>
            <w:tcW w:w="735" w:type="dxa"/>
            <w:vAlign w:val="center"/>
          </w:tcPr>
          <w:p>
            <w:pPr>
              <w:pStyle w:val="37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2</w:t>
            </w:r>
            <w:r>
              <w:rPr>
                <w:rFonts w:ascii="楷体" w:eastAsia="楷体" w:cs="楷体" w:hint="eastAsia"/>
                <w:bCs/>
                <w:sz w:val="24"/>
                <w:szCs w:val="40"/>
              </w:rPr>
              <w:t>*</w:t>
            </w:r>
          </w:p>
        </w:tc>
        <w:tc>
          <w:tcPr>
            <w:tcW w:w="3465" w:type="dxa"/>
            <w:vAlign w:val="center"/>
          </w:tcPr>
          <w:p>
            <w:pPr>
              <w:pStyle w:val="111"/>
              <w:widowControl/>
              <w:jc w:val="left"/>
              <w:textAlignment w:val="center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所有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包装容器</w:t>
            </w:r>
          </w:p>
        </w:tc>
        <w:tc>
          <w:tcPr>
            <w:tcW w:w="3150" w:type="dxa"/>
            <w:vAlign w:val="center"/>
          </w:tcPr>
          <w:p>
            <w:pPr>
              <w:pStyle w:val="50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量具</w:t>
            </w:r>
          </w:p>
        </w:tc>
        <w:tc>
          <w:tcPr>
            <w:tcW w:w="7455" w:type="dxa"/>
            <w:vAlign w:val="center"/>
          </w:tcPr>
          <w:p>
            <w:pPr>
              <w:pStyle w:val="52"/>
              <w:widowControl/>
              <w:jc w:val="left"/>
              <w:textAlignment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钢直尺、卷尺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等，测量材料厚度应配备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游标卡尺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397"/>
        </w:trPr>
        <w:tc>
          <w:tcPr>
            <w:tcW w:w="735" w:type="dxa"/>
            <w:vAlign w:val="center"/>
          </w:tcPr>
          <w:p>
            <w:pPr>
              <w:pStyle w:val="38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3</w:t>
            </w:r>
            <w:r>
              <w:rPr>
                <w:rFonts w:ascii="楷体" w:eastAsia="楷体" w:cs="楷体" w:hint="eastAsia"/>
                <w:bCs/>
                <w:sz w:val="24"/>
                <w:szCs w:val="40"/>
              </w:rPr>
              <w:t>*</w:t>
            </w:r>
          </w:p>
        </w:tc>
        <w:tc>
          <w:tcPr>
            <w:tcW w:w="3465" w:type="dxa"/>
            <w:vAlign w:val="center"/>
          </w:tcPr>
          <w:p>
            <w:pPr>
              <w:pStyle w:val="112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包装</w:t>
            </w:r>
          </w:p>
        </w:tc>
        <w:tc>
          <w:tcPr>
            <w:tcW w:w="3150" w:type="dxa"/>
            <w:vAlign w:val="center"/>
          </w:tcPr>
          <w:p>
            <w:pPr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跌落试验设备</w:t>
            </w:r>
          </w:p>
        </w:tc>
        <w:tc>
          <w:tcPr>
            <w:tcW w:w="745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由提升装置、释放装置和冲击平面所组成，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额定起重量和起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升高度应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能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满足试验要求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386"/>
        </w:trPr>
        <w:tc>
          <w:tcPr>
            <w:tcW w:w="735" w:type="dxa"/>
            <w:vMerge w:val="restart"/>
            <w:vAlign w:val="center"/>
          </w:tcPr>
          <w:p>
            <w:pPr>
              <w:pStyle w:val="107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4</w:t>
            </w:r>
            <w:r>
              <w:rPr>
                <w:rFonts w:ascii="楷体" w:eastAsia="楷体" w:cs="楷体" w:hint="eastAsia"/>
                <w:bCs/>
                <w:sz w:val="24"/>
                <w:szCs w:val="40"/>
              </w:rPr>
              <w:t>*</w:t>
            </w:r>
          </w:p>
        </w:tc>
        <w:tc>
          <w:tcPr>
            <w:tcW w:w="3465" w:type="dxa"/>
            <w:vAlign w:val="center"/>
          </w:tcPr>
          <w:p>
            <w:pPr>
              <w:pStyle w:val="113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包装（</w:t>
            </w:r>
            <w:r>
              <w:rPr>
                <w:rFonts w:ascii="楷体" w:eastAsia="楷体" w:cs="楷体" w:hint="eastAsia"/>
                <w:sz w:val="24"/>
              </w:rPr>
              <w:t>袋类包装</w:t>
            </w:r>
            <w:r>
              <w:rPr>
                <w:rFonts w:ascii="楷体" w:eastAsia="楷体" w:cs="楷体"/>
                <w:sz w:val="24"/>
              </w:rPr>
              <w:t>除外）</w:t>
            </w:r>
          </w:p>
        </w:tc>
        <w:tc>
          <w:tcPr>
            <w:tcW w:w="3150" w:type="dxa"/>
            <w:vAlign w:val="center"/>
          </w:tcPr>
          <w:p>
            <w:pPr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堆码试验设备</w:t>
            </w:r>
          </w:p>
        </w:tc>
        <w:tc>
          <w:tcPr>
            <w:tcW w:w="745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由水平台面和加载装置组成，加载能力应满足试验要求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385"/>
        </w:trPr>
        <w:tc>
          <w:tcPr>
            <w:tcW w:w="471" w:type="dxa"/>
            <w:vMerge/>
            <w:vAlign w:val="center"/>
          </w:tcPr>
          <w:p/>
        </w:tc>
        <w:tc>
          <w:tcPr>
            <w:tcW w:w="3465" w:type="dxa"/>
            <w:vAlign w:val="center"/>
          </w:tcPr>
          <w:p>
            <w:pPr>
              <w:pStyle w:val="114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裝液体的塑料桶/罐</w:t>
            </w:r>
          </w:p>
        </w:tc>
        <w:tc>
          <w:tcPr>
            <w:tcW w:w="3150" w:type="dxa"/>
            <w:vAlign w:val="center"/>
          </w:tcPr>
          <w:p>
            <w:pPr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堆码试验设备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（高温）</w:t>
            </w:r>
          </w:p>
        </w:tc>
        <w:tc>
          <w:tcPr>
            <w:tcW w:w="745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/>
                <w:color w:val="000000"/>
                <w:kern w:val="0"/>
                <w:sz w:val="24"/>
              </w:rPr>
              <w:t>试验环境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温度≥40℃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的堆码试验设备。</w:t>
            </w:r>
          </w:p>
        </w:tc>
      </w:tr>
      <w:tr>
        <w:trPr>
          <w:trHeight w:val="397"/>
        </w:trPr>
        <w:tc>
          <w:tcPr>
            <w:tcW w:w="735" w:type="dxa"/>
            <w:vAlign w:val="center"/>
          </w:tcPr>
          <w:p>
            <w:pPr>
              <w:pStyle w:val="99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5</w:t>
            </w:r>
            <w:r>
              <w:rPr>
                <w:rFonts w:ascii="楷体" w:eastAsia="楷体" w:cs="楷体" w:hint="eastAsia"/>
                <w:bCs/>
                <w:sz w:val="24"/>
                <w:szCs w:val="40"/>
              </w:rPr>
              <w:t>*</w:t>
            </w:r>
          </w:p>
        </w:tc>
        <w:tc>
          <w:tcPr>
            <w:tcW w:w="3465" w:type="dxa"/>
            <w:vAlign w:val="center"/>
          </w:tcPr>
          <w:p>
            <w:pPr>
              <w:pStyle w:val="115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裝液体的包装</w:t>
            </w:r>
          </w:p>
          <w:p>
            <w:pPr>
              <w:pStyle w:val="115"/>
              <w:jc w:val="left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裝液体的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中型散装容器</w:t>
            </w:r>
          </w:p>
        </w:tc>
        <w:tc>
          <w:tcPr>
            <w:tcW w:w="3150" w:type="dxa"/>
            <w:vAlign w:val="center"/>
          </w:tcPr>
          <w:p>
            <w:pPr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气密试验设备</w:t>
            </w:r>
          </w:p>
        </w:tc>
        <w:tc>
          <w:tcPr>
            <w:tcW w:w="745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color w:val="000000"/>
                <w:kern w:val="0"/>
                <w:sz w:val="24"/>
              </w:rPr>
              <w:t>能够持续施加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20KPa</w:t>
            </w:r>
            <w:r>
              <w:t xml:space="preserve"> 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-30KPa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的空气压力（根据包装容器实际要求）。</w:t>
            </w:r>
          </w:p>
        </w:tc>
      </w:tr>
      <w:tr>
        <w:trPr>
          <w:trHeight w:val="397"/>
        </w:trPr>
        <w:tc>
          <w:tcPr>
            <w:tcW w:w="735" w:type="dxa"/>
            <w:vAlign w:val="center"/>
          </w:tcPr>
          <w:p>
            <w:pPr>
              <w:pStyle w:val="41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6*</w:t>
            </w:r>
          </w:p>
        </w:tc>
        <w:tc>
          <w:tcPr>
            <w:tcW w:w="3465" w:type="dxa"/>
            <w:vAlign w:val="center"/>
          </w:tcPr>
          <w:p>
            <w:pPr>
              <w:pStyle w:val="116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裝液体的包装</w:t>
            </w:r>
          </w:p>
          <w:p>
            <w:pPr>
              <w:pStyle w:val="116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sz w:val="24"/>
              </w:rPr>
              <w:t>裝液体的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中型散装容器</w:t>
            </w:r>
          </w:p>
        </w:tc>
        <w:tc>
          <w:tcPr>
            <w:tcW w:w="3150" w:type="dxa"/>
            <w:vAlign w:val="center"/>
          </w:tcPr>
          <w:p>
            <w:pPr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液压试验设备</w:t>
            </w:r>
          </w:p>
        </w:tc>
        <w:tc>
          <w:tcPr>
            <w:tcW w:w="745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color w:val="000000"/>
                <w:kern w:val="0"/>
                <w:sz w:val="24"/>
              </w:rPr>
              <w:t>能够持续施加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100</w:t>
            </w:r>
            <w:r>
              <w:t xml:space="preserve"> 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KPa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以上的水压（根据包装容器实际要求）。</w:t>
            </w:r>
          </w:p>
        </w:tc>
      </w:tr>
      <w:tr>
        <w:trPr>
          <w:trHeight w:val="397"/>
        </w:trPr>
        <w:tc>
          <w:tcPr>
            <w:tcW w:w="735" w:type="dxa"/>
            <w:vAlign w:val="center"/>
          </w:tcPr>
          <w:p>
            <w:pPr>
              <w:pStyle w:val="45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7</w:t>
            </w:r>
          </w:p>
        </w:tc>
        <w:tc>
          <w:tcPr>
            <w:tcW w:w="3465" w:type="dxa"/>
            <w:vAlign w:val="center"/>
          </w:tcPr>
          <w:p>
            <w:pPr>
              <w:pStyle w:val="11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中型散装容器（集装袋除外）</w:t>
            </w:r>
          </w:p>
          <w:p>
            <w:pPr>
              <w:pStyle w:val="11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大包装</w:t>
            </w:r>
          </w:p>
        </w:tc>
        <w:tc>
          <w:tcPr>
            <w:tcW w:w="3150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底部提升试验设备（叉车）</w:t>
            </w:r>
          </w:p>
        </w:tc>
        <w:tc>
          <w:tcPr>
            <w:tcW w:w="7455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起升质量≥试样最大允许总质量的1.25倍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794"/>
        </w:trPr>
        <w:tc>
          <w:tcPr>
            <w:tcW w:w="735" w:type="dxa"/>
            <w:vAlign w:val="center"/>
          </w:tcPr>
          <w:p>
            <w:pPr>
              <w:pStyle w:val="46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8</w:t>
            </w:r>
          </w:p>
        </w:tc>
        <w:tc>
          <w:tcPr>
            <w:tcW w:w="3465" w:type="dxa"/>
            <w:vAlign w:val="center"/>
          </w:tcPr>
          <w:p>
            <w:pPr>
              <w:pStyle w:val="118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中型散装容器</w:t>
            </w:r>
          </w:p>
          <w:p>
            <w:pPr>
              <w:pStyle w:val="118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大包装</w:t>
            </w:r>
          </w:p>
        </w:tc>
        <w:tc>
          <w:tcPr>
            <w:tcW w:w="3150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行车或手拉葫芦，配套释放装置</w:t>
            </w:r>
          </w:p>
        </w:tc>
        <w:tc>
          <w:tcPr>
            <w:tcW w:w="7455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额定起重量≥试样最大允许总质量，提升高度≥1.2米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；</w:t>
            </w:r>
          </w:p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用于集装袋复原试验时，起升速度应≥0.1米/秒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416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9</w:t>
            </w:r>
          </w:p>
        </w:tc>
        <w:tc>
          <w:tcPr>
            <w:tcW w:w="3465" w:type="dxa"/>
            <w:vAlign w:val="center"/>
          </w:tcPr>
          <w:p>
            <w:pPr>
              <w:pStyle w:val="119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集装袋</w:t>
            </w:r>
          </w:p>
        </w:tc>
        <w:tc>
          <w:tcPr>
            <w:tcW w:w="3150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集装袋顶部提升试验设备</w:t>
            </w:r>
          </w:p>
        </w:tc>
        <w:tc>
          <w:tcPr>
            <w:tcW w:w="7455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加载负荷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+</w:t>
            </w: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内装物≥试样最大允许负荷的6倍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397"/>
        </w:trPr>
        <w:tc>
          <w:tcPr>
            <w:tcW w:w="735" w:type="dxa"/>
            <w:vAlign w:val="center"/>
          </w:tcPr>
          <w:p>
            <w:pPr>
              <w:pStyle w:val="78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10</w:t>
            </w:r>
          </w:p>
        </w:tc>
        <w:tc>
          <w:tcPr>
            <w:tcW w:w="3465" w:type="dxa"/>
            <w:vAlign w:val="center"/>
          </w:tcPr>
          <w:p>
            <w:pPr>
              <w:pStyle w:val="120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编码为1H1、1H2、3H1、3H2、4H2、6HA1、31HA1、50H等需要进行冷冻跌落试验的包装容器</w:t>
            </w:r>
          </w:p>
        </w:tc>
        <w:tc>
          <w:tcPr>
            <w:tcW w:w="3150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低温室（箱）</w:t>
            </w:r>
          </w:p>
        </w:tc>
        <w:tc>
          <w:tcPr>
            <w:tcW w:w="7455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能将试样及其内装物的温度降至-18℃或更低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  <w:tr>
        <w:trPr>
          <w:trHeight w:val="396"/>
        </w:trPr>
        <w:tc>
          <w:tcPr>
            <w:tcW w:w="735" w:type="dxa"/>
            <w:vAlign w:val="center"/>
          </w:tcPr>
          <w:p>
            <w:pPr>
              <w:pStyle w:val="86"/>
              <w:jc w:val="center"/>
              <w:rPr>
                <w:rFonts w:ascii="楷体" w:eastAsia="楷体" w:cs="楷体"/>
                <w:sz w:val="24"/>
              </w:rPr>
            </w:pPr>
            <w:r>
              <w:rPr>
                <w:rFonts w:ascii="楷体" w:eastAsia="楷体" w:cs="楷体"/>
                <w:sz w:val="24"/>
              </w:rPr>
              <w:t>11</w:t>
            </w:r>
          </w:p>
        </w:tc>
        <w:tc>
          <w:tcPr>
            <w:tcW w:w="3465" w:type="dxa"/>
            <w:vAlign w:val="center"/>
          </w:tcPr>
          <w:p>
            <w:pPr>
              <w:pStyle w:val="121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纸和纤维板材料的包装容器</w:t>
            </w:r>
          </w:p>
        </w:tc>
        <w:tc>
          <w:tcPr>
            <w:tcW w:w="3150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恒温恒湿室（箱）</w:t>
            </w:r>
          </w:p>
        </w:tc>
        <w:tc>
          <w:tcPr>
            <w:tcW w:w="7455" w:type="dxa"/>
            <w:vAlign w:val="center"/>
          </w:tcPr>
          <w:p>
            <w:pPr>
              <w:pStyle w:val="87"/>
              <w:rPr>
                <w:rFonts w:ascii="楷体" w:eastAsia="楷体" w:cs="楷体"/>
                <w:color w:val="000000"/>
                <w:kern w:val="0"/>
                <w:sz w:val="24"/>
              </w:rPr>
            </w:pPr>
            <w:r>
              <w:rPr>
                <w:rFonts w:ascii="楷体" w:eastAsia="楷体" w:cs="楷体" w:hint="eastAsia"/>
                <w:color w:val="000000"/>
                <w:kern w:val="0"/>
                <w:sz w:val="24"/>
              </w:rPr>
              <w:t>满足温度23±2℃和相对湿度50%±2%、温度20±2℃和相对湿度65%±2%、温度27±2℃和相对湿度65%±2%三者之一</w:t>
            </w:r>
            <w:r>
              <w:rPr>
                <w:rFonts w:ascii="楷体" w:eastAsia="楷体" w:cs="楷体"/>
                <w:color w:val="000000"/>
                <w:kern w:val="0"/>
                <w:sz w:val="24"/>
              </w:rPr>
              <w:t>。</w:t>
            </w:r>
          </w:p>
        </w:tc>
      </w:tr>
    </w:tbl>
    <w:p>
      <w:pPr>
        <w:pStyle w:val="15"/>
        <w:tabs>
          <w:tab w:val="center" w:pos="4153"/>
          <w:tab w:val="right" w:pos="8306"/>
        </w:tabs>
        <w:rPr>
          <w:rFonts w:ascii="楷体" w:eastAsia="楷体" w:cs="楷体" w:hint="eastAsia"/>
          <w:bCs/>
          <w:sz w:val="24"/>
          <w:szCs w:val="40"/>
        </w:rPr>
      </w:pPr>
      <w:r>
        <w:rPr>
          <w:rFonts w:ascii="楷体" w:eastAsia="楷体" w:cs="楷体" w:hint="eastAsia"/>
          <w:bCs/>
          <w:sz w:val="24"/>
          <w:szCs w:val="40"/>
        </w:rPr>
        <w:t>备注：1.</w:t>
      </w:r>
      <w:r>
        <w:rPr>
          <w:rFonts w:ascii="楷体" w:eastAsia="楷体" w:cs="楷体"/>
          <w:bCs/>
          <w:sz w:val="24"/>
          <w:szCs w:val="40"/>
        </w:rPr>
        <w:t>表</w:t>
      </w:r>
      <w:r>
        <w:rPr>
          <w:rFonts w:ascii="楷体" w:eastAsia="楷体" w:cs="楷体" w:hint="eastAsia"/>
          <w:bCs/>
          <w:sz w:val="24"/>
          <w:szCs w:val="40"/>
        </w:rPr>
        <w:t>中注“*”</w:t>
      </w:r>
      <w:r>
        <w:rPr>
          <w:rFonts w:ascii="楷体" w:eastAsia="楷体" w:cs="楷体"/>
          <w:bCs/>
          <w:sz w:val="24"/>
          <w:szCs w:val="40"/>
        </w:rPr>
        <w:t>条</w:t>
      </w:r>
      <w:r>
        <w:rPr>
          <w:rFonts w:ascii="楷体" w:eastAsia="楷体" w:cs="楷体" w:hint="eastAsia"/>
          <w:bCs/>
          <w:sz w:val="24"/>
          <w:szCs w:val="40"/>
        </w:rPr>
        <w:t>目必备，未注“*”</w:t>
      </w:r>
      <w:r>
        <w:rPr>
          <w:rFonts w:ascii="楷体" w:eastAsia="楷体" w:cs="楷体"/>
          <w:bCs/>
          <w:sz w:val="24"/>
          <w:szCs w:val="40"/>
        </w:rPr>
        <w:t>条</w:t>
      </w:r>
      <w:r>
        <w:rPr>
          <w:rFonts w:ascii="楷体" w:eastAsia="楷体" w:cs="楷体" w:hint="eastAsia"/>
          <w:bCs/>
          <w:sz w:val="24"/>
          <w:szCs w:val="40"/>
        </w:rPr>
        <w:t>目不作强制要求；</w:t>
      </w:r>
    </w:p>
    <w:p>
      <w:pPr>
        <w:pStyle w:val="15"/>
        <w:tabs>
          <w:tab w:val="center" w:pos="4153"/>
          <w:tab w:val="right" w:pos="8306"/>
        </w:tabs>
        <w:ind w:firstLineChars="300" w:firstLine="720"/>
        <w:rPr>
          <w:rFonts w:ascii="楷体" w:eastAsia="楷体" w:cs="楷体"/>
          <w:b/>
          <w:bCs/>
          <w:sz w:val="32"/>
          <w:szCs w:val="40"/>
        </w:rPr>
      </w:pPr>
      <w:r>
        <w:rPr>
          <w:rFonts w:ascii="楷体" w:eastAsia="楷体" w:cs="楷体" w:hint="eastAsia"/>
          <w:bCs/>
          <w:sz w:val="24"/>
          <w:szCs w:val="40"/>
        </w:rPr>
        <w:t>2.生产企业不具备</w:t>
      </w:r>
      <w:r>
        <w:rPr>
          <w:rFonts w:ascii="楷体" w:eastAsia="楷体" w:cs="楷体"/>
          <w:bCs/>
          <w:sz w:val="24"/>
          <w:szCs w:val="40"/>
        </w:rPr>
        <w:t>部分</w:t>
      </w:r>
      <w:r>
        <w:rPr>
          <w:rFonts w:ascii="楷体" w:eastAsia="楷体" w:cs="楷体" w:hint="eastAsia"/>
          <w:bCs/>
          <w:sz w:val="24"/>
          <w:szCs w:val="40"/>
        </w:rPr>
        <w:t>检测设备或环境设施时，应委托有资质的第三方机构检测相关项目。</w:t>
      </w:r>
    </w:p>
    <w:sectPr>
      <w:pgSz w:w="16838" w:h="11906" w:orient="landscape"/>
      <w:pgMar w:top="907" w:right="1134" w:bottom="851" w:left="1134" w:header="567" w:footer="340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7">
    <w:name w:val="font31"/>
    <w:basedOn w:val="10"/>
    <w:rPr>
      <w:rFonts w:ascii="宋体" w:eastAsia="宋体" w:cs="宋体"/>
      <w:color w:val="000000"/>
      <w:sz w:val="28"/>
      <w:szCs w:val="28"/>
      <w:u w:val="none"/>
    </w:rPr>
  </w:style>
  <w:style w:type="character" w:customStyle="1" w:styleId="18">
    <w:name w:val="font41"/>
    <w:basedOn w:val="10"/>
    <w:rPr>
      <w:rFonts w:ascii="宋体" w:eastAsia="宋体" w:cs="宋体"/>
      <w:color w:val="000000"/>
      <w:sz w:val="40"/>
      <w:szCs w:val="40"/>
      <w:u w:val="none"/>
    </w:rPr>
  </w:style>
  <w:style w:type="character" w:customStyle="1" w:styleId="19">
    <w:name w:val="font11"/>
    <w:basedOn w:val="10"/>
    <w:rPr>
      <w:rFonts w:ascii="宋体" w:eastAsia="宋体" w:cs="宋体"/>
      <w:color w:val="000000"/>
      <w:sz w:val="24"/>
      <w:szCs w:val="24"/>
      <w:u w:val="none"/>
    </w:rPr>
  </w:style>
  <w:style w:type="paragraph" w:customStyle="1" w:styleId="20">
    <w:name w:val="列出段落1"/>
    <w:basedOn w:val="0"/>
    <w:pPr>
      <w:ind w:firstLineChars="200" w:firstLine="200"/>
    </w:pPr>
  </w:style>
  <w:style w:type="paragraph" w:styleId="21">
    <w:name w:val="Balloon Text"/>
    <w:basedOn w:val="0"/>
    <w:rPr>
      <w:sz w:val="18"/>
      <w:szCs w:val="18"/>
    </w:rPr>
  </w:style>
  <w:style w:type="paragraph" w:customStyle="1" w:styleId="22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3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4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5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6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7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8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9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0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1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2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3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4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5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6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7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8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39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0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1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2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3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4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5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6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7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8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49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0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1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2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3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4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5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6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7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8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59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0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1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2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3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4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5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6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7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8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69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0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1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2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3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4">
    <w:name w:val="样式 小四"/>
    <w:rPr>
      <w:rFonts w:asci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5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6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7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8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79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0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1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2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3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4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5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6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7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8">
    <w:name w:val="样式 6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89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0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1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2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3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4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5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6">
    <w:name w:val="样式 7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7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8">
    <w:name w:val="样式 7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99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0">
    <w:name w:val="样式 7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1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2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3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4">
    <w:name w:val="样式 8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5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6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7">
    <w:name w:val="样式 8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8">
    <w:name w:val="样式 8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09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0">
    <w:name w:val="样式 8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1">
    <w:name w:val="样式 8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2">
    <w:name w:val="样式 8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3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4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5">
    <w:name w:val="样式 9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6">
    <w:name w:val="样式 9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7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8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19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0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1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2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3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4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5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6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7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8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29">
    <w:name w:val="样式 106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35">
    <w:name w:val="样式 107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36">
    <w:name w:val="样式 108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37">
    <w:name w:val="样式 10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252</TotalTime>
  <Application>Yozo_Office</Application>
  <Pages>1</Pages>
  <Words>667</Words>
  <Characters>743</Characters>
  <Lines>65</Lines>
  <Paragraphs>60</Paragraphs>
  <CharactersWithSpaces>745</CharactersWithSpaces>
  <Company>njhg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钱江山</cp:lastModifiedBy>
  <cp:revision>3</cp:revision>
  <cp:lastPrinted>2022-12-15T06:33:00Z</cp:lastPrinted>
  <dcterms:created xsi:type="dcterms:W3CDTF">2022-12-14T06:16:00Z</dcterms:created>
  <dcterms:modified xsi:type="dcterms:W3CDTF">2022-12-21T02:52:20Z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2052-11.1.0.12358</vt:lpwstr>
  </property>
  <property fmtid="{D5CDD505-2E9C-101B-9397-08002B2CF9AE}" pid="3" name="ICV">
    <vt:lpwstr>B794608525AD4CAF91C2692447CCB090</vt:lpwstr>
  </property>
</Properties>
</file>